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22A75" w:rsidR="003136E4" w:rsidP="003136E4" w:rsidRDefault="003136E4" w14:paraId="1CF621A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bookmarkStart w:name="_GoBack" w:id="0"/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Health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bookmarkEnd w:id="0"/>
      <w:proofErr w:type="spellEnd"/>
    </w:p>
    <w:p xmlns:wp14="http://schemas.microsoft.com/office/word/2010/wordml" w:rsidRPr="00122A75" w:rsidR="003136E4" w:rsidP="003136E4" w:rsidRDefault="003136E4" w14:paraId="30CC3ED6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PSYM21-CH-104</w:t>
      </w:r>
    </w:p>
    <w:p xmlns:wp14="http://schemas.microsoft.com/office/word/2010/wordml" w:rsidRPr="00122A75" w:rsidR="003136E4" w:rsidP="003136E4" w:rsidRDefault="003136E4" w14:paraId="7F33C6E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Pigniczkiné</w:t>
      </w: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Rigó Adrien</w:t>
      </w:r>
    </w:p>
    <w:p xmlns:wp14="http://schemas.microsoft.com/office/word/2010/wordml" w:rsidRPr="00122A75" w:rsidR="003136E4" w:rsidP="003136E4" w:rsidRDefault="003136E4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122A75" w:rsidR="003136E4" w:rsidP="003136E4" w:rsidRDefault="003136E4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122A75" w:rsidR="003136E4" w:rsidP="003136E4" w:rsidRDefault="003136E4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MAB Status: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(T)</w:t>
      </w:r>
    </w:p>
    <w:p xmlns:wp14="http://schemas.microsoft.com/office/word/2010/wordml" w:rsidRPr="00122A75" w:rsidR="003136E4" w:rsidP="003136E4" w:rsidRDefault="003136E4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4868F88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Az oktatás célja angolul</w:t>
      </w:r>
    </w:p>
    <w:p xmlns:wp14="http://schemas.microsoft.com/office/word/2010/wordml" w:rsidRPr="00122A75" w:rsidR="003136E4" w:rsidP="003136E4" w:rsidRDefault="003136E4" w14:paraId="408F8D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3136E4" w:rsidP="003136E4" w:rsidRDefault="003136E4" w14:paraId="2F6917E1" wp14:textId="77777777">
      <w:pPr>
        <w:spacing w:after="0" w:line="240" w:lineRule="auto"/>
        <w:ind w:right="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discusses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chronic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somatic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illnesses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biopsychosocial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viewpoint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first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classes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introduction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familiarized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historical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background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major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psychosomatic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vulnerability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somatization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following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part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chronic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illnesses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most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common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most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relevant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biggest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societal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impact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detail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Our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goal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complex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picture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above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connection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certain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does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focus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presenting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wishes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complex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picture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might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arise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having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live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certain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what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duties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up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Diving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accompanied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discussions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personnel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getting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self-help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disease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specific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tests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intervention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part of project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3136E4" w:rsidP="003136E4" w:rsidRDefault="003136E4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122A75" w:rsidR="003136E4" w:rsidP="003136E4" w:rsidRDefault="003136E4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3136E4" w:rsidP="003136E4" w:rsidRDefault="003136E4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7DBE454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psychosomatic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vulnerability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somatization</w:t>
      </w:r>
      <w:proofErr w:type="spellEnd"/>
    </w:p>
    <w:p xmlns:wp14="http://schemas.microsoft.com/office/word/2010/wordml" w:rsidRPr="00122A75" w:rsidR="003136E4" w:rsidP="003136E4" w:rsidRDefault="003136E4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AC3E5D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biological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characteristics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certain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</w:p>
    <w:p xmlns:wp14="http://schemas.microsoft.com/office/word/2010/wordml" w:rsidRPr="00122A75" w:rsidR="003136E4" w:rsidP="003136E4" w:rsidRDefault="003136E4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75F19F1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major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regarding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certain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comorbid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biopsychosocial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mechanisms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possibilities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life)</w:t>
      </w:r>
    </w:p>
    <w:p xmlns:wp14="http://schemas.microsoft.com/office/word/2010/wordml" w:rsidRPr="00122A75" w:rsidR="003136E4" w:rsidP="003136E4" w:rsidRDefault="003136E4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3136E4" w:rsidP="003136E4" w:rsidRDefault="003136E4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79639F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developing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which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involves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being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interested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somatic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symptoms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</w:p>
    <w:p xmlns:wp14="http://schemas.microsoft.com/office/word/2010/wordml" w:rsidRPr="00122A75" w:rsidR="003136E4" w:rsidP="003136E4" w:rsidRDefault="003136E4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0EF6D1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developing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appropriate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towards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care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personnel</w:t>
      </w:r>
      <w:proofErr w:type="spellEnd"/>
    </w:p>
    <w:p xmlns:wp14="http://schemas.microsoft.com/office/word/2010/wordml" w:rsidRPr="00122A75" w:rsidR="003136E4" w:rsidP="003136E4" w:rsidRDefault="003136E4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3136E4" w:rsidP="003136E4" w:rsidRDefault="003136E4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4FFB719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savvy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medical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language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somatic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</w:p>
    <w:p xmlns:wp14="http://schemas.microsoft.com/office/word/2010/wordml" w:rsidRPr="00122A75" w:rsidR="003136E4" w:rsidP="003136E4" w:rsidRDefault="003136E4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0071F00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recognizing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possible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psychosomatic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somatopsychic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interactions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certain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</w:p>
    <w:p xmlns:wp14="http://schemas.microsoft.com/office/word/2010/wordml" w:rsidRPr="00122A75" w:rsidR="003136E4" w:rsidP="003136E4" w:rsidRDefault="003136E4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4A2D4B1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highlight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major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matching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possible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</w:p>
    <w:p xmlns:wp14="http://schemas.microsoft.com/office/word/2010/wordml" w:rsidRPr="00122A75" w:rsidR="003136E4" w:rsidP="003136E4" w:rsidRDefault="003136E4" w14:paraId="3DEEC6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122A75" w:rsidR="003136E4" w:rsidP="003136E4" w:rsidRDefault="003136E4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3136E4" w:rsidP="003136E4" w:rsidRDefault="003136E4" w14:paraId="27BA18C3" wp14:textId="77777777">
      <w:pPr>
        <w:numPr>
          <w:ilvl w:val="0"/>
          <w:numId w:val="3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context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somatic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impairments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interpret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studies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presented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3136E4" w:rsidP="003136E4" w:rsidRDefault="003136E4" w14:paraId="7F4F84BA" wp14:textId="77777777">
      <w:pPr>
        <w:numPr>
          <w:ilvl w:val="0"/>
          <w:numId w:val="3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supportive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empathetic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towards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somatic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impairments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educate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purposes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corresponding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level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3136E4" w:rsidP="003136E4" w:rsidRDefault="003136E4" w14:paraId="7567DDD5" wp14:textId="77777777">
      <w:pPr>
        <w:numPr>
          <w:ilvl w:val="0"/>
          <w:numId w:val="3"/>
        </w:numPr>
        <w:spacing w:after="0" w:line="240" w:lineRule="auto"/>
        <w:ind w:right="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lastRenderedPageBreak/>
        <w:t xml:space="preserve">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promotion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healthcare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purposes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3136E4" w:rsidP="003136E4" w:rsidRDefault="003136E4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6D36ED7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Az oktatás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tartlma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angolul</w:t>
      </w:r>
    </w:p>
    <w:p xmlns:wp14="http://schemas.microsoft.com/office/word/2010/wordml" w:rsidRPr="00122A75" w:rsidR="003136E4" w:rsidP="003136E4" w:rsidRDefault="003136E4" w14:paraId="6798C9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122A75" w:rsidR="003136E4" w:rsidP="003136E4" w:rsidRDefault="003136E4" w14:paraId="561CA06F" wp14:textId="77777777">
      <w:pPr>
        <w:spacing w:after="0" w:line="240" w:lineRule="auto"/>
        <w:ind w:left="4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Conceptual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introduction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section</w:t>
      </w:r>
      <w:proofErr w:type="spellEnd"/>
    </w:p>
    <w:p xmlns:wp14="http://schemas.microsoft.com/office/word/2010/wordml" w:rsidRPr="00122A75" w:rsidR="003136E4" w:rsidP="003136E4" w:rsidRDefault="003136E4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74CFBCA8" wp14:textId="77777777">
      <w:pPr>
        <w:spacing w:after="0" w:line="240" w:lineRule="auto"/>
        <w:ind w:left="4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Somatic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conditions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–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historical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summary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trends</w:t>
      </w:r>
      <w:proofErr w:type="spellEnd"/>
    </w:p>
    <w:p xmlns:wp14="http://schemas.microsoft.com/office/word/2010/wordml" w:rsidRPr="00122A75" w:rsidR="003136E4" w:rsidP="003136E4" w:rsidRDefault="003136E4" w14:paraId="049F31C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20E32DB4" wp14:textId="77777777">
      <w:pPr>
        <w:spacing w:after="0" w:line="240" w:lineRule="auto"/>
        <w:ind w:left="364" w:right="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Major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psychosomatic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vulnerability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somatization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(1: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regression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attachment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relations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family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) (2: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alexithymia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somatosensory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amplification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catastrophizing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Brown’s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integrative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conceptual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filter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122A75" w:rsidR="003136E4" w:rsidP="003136E4" w:rsidRDefault="003136E4" w14:paraId="53128261" wp14:textId="77777777">
      <w:pPr>
        <w:spacing w:after="0" w:line="240" w:lineRule="auto"/>
        <w:ind w:left="364" w:right="2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67562A69" wp14:textId="77777777">
      <w:pPr>
        <w:spacing w:after="0" w:line="240" w:lineRule="auto"/>
        <w:ind w:left="4" w:right="220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Disease-specific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section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most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common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are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presented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every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description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;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however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, in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case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of less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common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problems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focus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may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change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)</w:t>
      </w:r>
    </w:p>
    <w:p xmlns:wp14="http://schemas.microsoft.com/office/word/2010/wordml" w:rsidRPr="00122A75" w:rsidR="003136E4" w:rsidP="003136E4" w:rsidRDefault="003136E4" w14:paraId="62486C0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6C074E6E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Gastrointestinal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gastric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ulcer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inflammatory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bowel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irritable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bowel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syndrome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</w:p>
    <w:p xmlns:wp14="http://schemas.microsoft.com/office/word/2010/wordml" w:rsidRPr="00122A75" w:rsidR="003136E4" w:rsidP="003136E4" w:rsidRDefault="003136E4" w14:paraId="2D8D565B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Cardio-vascular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hypertension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arteriosclerosis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infarction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stroke)</w:t>
      </w:r>
    </w:p>
    <w:p xmlns:wp14="http://schemas.microsoft.com/office/word/2010/wordml" w:rsidRPr="00122A75" w:rsidR="003136E4" w:rsidP="003136E4" w:rsidRDefault="003136E4" w14:paraId="4101652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2B680C7B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0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Oncological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Asthma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, COPD</w:t>
      </w:r>
    </w:p>
    <w:p xmlns:wp14="http://schemas.microsoft.com/office/word/2010/wordml" w:rsidRPr="00122A75" w:rsidR="003136E4" w:rsidP="003136E4" w:rsidRDefault="003136E4" w14:paraId="4B99056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F1CEDAE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Allergies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intolerances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hayfever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multiple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chemical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sensitivity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lactose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gluten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intolerance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122A75" w:rsidR="003136E4" w:rsidP="003136E4" w:rsidRDefault="003136E4" w14:paraId="1299C43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2464D89C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Gynecological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endometriosis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PCOS,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menstruation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gynecological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infections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</w:p>
    <w:p xmlns:wp14="http://schemas.microsoft.com/office/word/2010/wordml" w:rsidRPr="00122A75" w:rsidR="003136E4" w:rsidP="003136E4" w:rsidRDefault="003136E4" w14:paraId="3807445C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Diabetes,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metabolic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122A75" w:rsidR="003136E4" w:rsidP="003136E4" w:rsidRDefault="003136E4" w14:paraId="4DDBEF0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016B4D8C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0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Pain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chronic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pelvic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pain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headaches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fibromyalgia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</w:p>
    <w:p xmlns:wp14="http://schemas.microsoft.com/office/word/2010/wordml" w:rsidRPr="00122A75" w:rsidR="003136E4" w:rsidP="003136E4" w:rsidRDefault="003136E4" w14:paraId="3DBA2A11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0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issues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transplantation</w:t>
      </w:r>
      <w:proofErr w:type="spellEnd"/>
    </w:p>
    <w:p xmlns:wp14="http://schemas.microsoft.com/office/word/2010/wordml" w:rsidRPr="00122A75" w:rsidR="003136E4" w:rsidP="003136E4" w:rsidRDefault="003136E4" w14:paraId="3461D77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14FD82F2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care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disabled</w:t>
      </w:r>
      <w:proofErr w:type="spellEnd"/>
    </w:p>
    <w:p xmlns:wp14="http://schemas.microsoft.com/office/word/2010/wordml" w:rsidRPr="00122A75" w:rsidR="003136E4" w:rsidP="003136E4" w:rsidRDefault="003136E4" w14:paraId="3CF2D8B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1099AEE2" wp14:textId="77777777">
      <w:pPr>
        <w:spacing w:after="0" w:line="240" w:lineRule="auto"/>
        <w:ind w:left="4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122A75" w:rsidR="003136E4" w:rsidP="003136E4" w:rsidRDefault="003136E4" w14:paraId="58B4B878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Frontal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education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major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main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</w:p>
    <w:p xmlns:wp14="http://schemas.microsoft.com/office/word/2010/wordml" w:rsidRPr="00122A75" w:rsidR="003136E4" w:rsidP="003136E4" w:rsidRDefault="003136E4" w14:paraId="0FB7827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3136E4" w:rsidP="003136E4" w:rsidRDefault="003136E4" w14:paraId="5C75AE46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Interactive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experience-based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exercises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practise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connected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somatic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patients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; project-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focusing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</w:t>
      </w:r>
      <w:proofErr w:type="spellEnd"/>
    </w:p>
    <w:p xmlns:wp14="http://schemas.microsoft.com/office/word/2010/wordml" w:rsidRPr="00122A75" w:rsidR="003136E4" w:rsidP="003136E4" w:rsidRDefault="003136E4" w14:paraId="1FC3994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122A75" w:rsidR="003136E4" w:rsidP="003136E4" w:rsidRDefault="003136E4" w14:paraId="0BD1BD4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 számonkérés és értékelés rendszere angolul</w:t>
      </w:r>
    </w:p>
    <w:p xmlns:wp14="http://schemas.microsoft.com/office/word/2010/wordml" w:rsidRPr="00122A75" w:rsidR="003136E4" w:rsidP="003136E4" w:rsidRDefault="003136E4" w14:paraId="4B15E91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outcomes</w:t>
      </w:r>
      <w:proofErr w:type="spellEnd"/>
    </w:p>
    <w:p xmlns:wp14="http://schemas.microsoft.com/office/word/2010/wordml" w:rsidRPr="00122A75" w:rsidR="003136E4" w:rsidP="003136E4" w:rsidRDefault="003136E4" w14:paraId="55040540" wp14:textId="77777777">
      <w:pPr>
        <w:spacing w:after="0" w:line="240" w:lineRule="auto"/>
        <w:ind w:left="4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3136E4" w:rsidP="003136E4" w:rsidRDefault="003136E4" w14:paraId="0562CB0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24BADDD2" wp14:textId="77777777">
      <w:pPr>
        <w:spacing w:after="0" w:line="240" w:lineRule="auto"/>
        <w:ind w:left="4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122A75" w:rsidR="003136E4" w:rsidP="003136E4" w:rsidRDefault="003136E4" w14:paraId="34CE0A4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8A0337A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steady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two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tests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seminar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one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second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one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122A75" w:rsidR="003136E4" w:rsidP="003136E4" w:rsidRDefault="003136E4" w14:paraId="62EBF3C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3B769504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interactive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exercises</w:t>
      </w:r>
      <w:proofErr w:type="spellEnd"/>
    </w:p>
    <w:p xmlns:wp14="http://schemas.microsoft.com/office/word/2010/wordml" w:rsidRPr="00122A75" w:rsidR="003136E4" w:rsidP="003136E4" w:rsidRDefault="003136E4" w14:paraId="6D98A12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0561642A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122A75" w:rsidR="003136E4" w:rsidP="003136E4" w:rsidRDefault="003136E4" w14:paraId="2946DB8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2CE1E5B9" wp14:textId="77777777">
      <w:pPr>
        <w:spacing w:after="0" w:line="240" w:lineRule="auto"/>
        <w:ind w:left="4" w:right="2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mark; 5-point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average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percentages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three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parts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122A75" w:rsidR="003136E4" w:rsidP="003136E4" w:rsidRDefault="003136E4" w14:paraId="5997CC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19AEC191" wp14:textId="77777777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>test 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background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) 25%</w:t>
      </w:r>
    </w:p>
    <w:p xmlns:wp14="http://schemas.microsoft.com/office/word/2010/wordml" w:rsidRPr="00122A75" w:rsidR="003136E4" w:rsidP="003136E4" w:rsidRDefault="003136E4" w14:paraId="270A41E7" wp14:textId="77777777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>test 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disease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specific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part) 25%</w:t>
      </w:r>
    </w:p>
    <w:p xmlns:wp14="http://schemas.microsoft.com/office/word/2010/wordml" w:rsidRPr="00122A75" w:rsidR="003136E4" w:rsidP="003136E4" w:rsidRDefault="003136E4" w14:paraId="34D22AEA" wp14:textId="77777777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project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50% </w:t>
      </w:r>
    </w:p>
    <w:p xmlns:wp14="http://schemas.microsoft.com/office/word/2010/wordml" w:rsidRPr="00122A75" w:rsidR="003136E4" w:rsidP="003136E4" w:rsidRDefault="003136E4" w14:paraId="110FFD3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3136E4" w:rsidP="003136E4" w:rsidRDefault="003136E4" w14:paraId="6B699379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74B014E0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depth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biopsychosocial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interactions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122A75" w:rsidR="003136E4" w:rsidP="003136E4" w:rsidRDefault="003136E4" w14:paraId="3128DE36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apply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mastered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</w:p>
    <w:p xmlns:wp14="http://schemas.microsoft.com/office/word/2010/wordml" w:rsidRPr="00122A75" w:rsidR="003136E4" w:rsidP="003136E4" w:rsidRDefault="003136E4" w14:paraId="3FE9F23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441B061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/>
          <w:b/>
          <w:sz w:val="20"/>
          <w:szCs w:val="20"/>
        </w:rPr>
        <w:t>Idegen nyelven történő indítás esetén az adott idegen nyelvű irodalom:</w:t>
      </w:r>
    </w:p>
    <w:p xmlns:wp14="http://schemas.microsoft.com/office/word/2010/wordml" w:rsidRPr="00122A75" w:rsidR="003136E4" w:rsidP="003136E4" w:rsidRDefault="003136E4" w14:paraId="6D1F478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Compulsory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</w:p>
    <w:p xmlns:wp14="http://schemas.microsoft.com/office/word/2010/wordml" w:rsidRPr="00122A75" w:rsidR="003136E4" w:rsidP="003136E4" w:rsidRDefault="003136E4" w14:paraId="1F72F64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4B695F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>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introduction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122A75" w:rsidR="003136E4" w:rsidP="003136E4" w:rsidRDefault="003136E4" w14:paraId="08CE6F9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39AAC15F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Belar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C.D. (2008).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Health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Health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Care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Speciality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Professional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Professional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Research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39 (2). 229-233</w:t>
      </w:r>
    </w:p>
    <w:p xmlns:wp14="http://schemas.microsoft.com/office/word/2010/wordml" w:rsidRPr="00122A75" w:rsidR="003136E4" w:rsidP="003136E4" w:rsidRDefault="003136E4" w14:paraId="61CDCEA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B4E7353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i/>
          <w:color w:val="000000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Brown, R</w:t>
      </w:r>
      <w:proofErr w:type="gram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.J</w:t>
      </w:r>
      <w:proofErr w:type="gram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(2006).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Medically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unexplained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symptoms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Psychiatry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gram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5(</w:t>
      </w:r>
      <w:proofErr w:type="gram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2), 43-47.</w:t>
      </w:r>
    </w:p>
    <w:p xmlns:wp14="http://schemas.microsoft.com/office/word/2010/wordml" w:rsidRPr="00122A75" w:rsidR="003136E4" w:rsidP="003136E4" w:rsidRDefault="003136E4" w14:paraId="09041F1E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Fotogram Light" w:hAnsi="Fotogram Light" w:eastAsia="Fotogram Light" w:cs="Fotogram Light"/>
          <w:i/>
          <w:color w:val="0000FF"/>
          <w:sz w:val="20"/>
          <w:szCs w:val="20"/>
          <w:u w:val="single"/>
        </w:rPr>
      </w:pP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Chen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J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at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al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(2011).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Alexithymia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emotional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regulation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cluster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analytical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BMC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Psychiatry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gram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11(</w:t>
      </w:r>
      <w:proofErr w:type="gram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33). </w:t>
      </w:r>
      <w:hyperlink r:id="rId5">
        <w:r w:rsidRPr="00122A75">
          <w:rPr>
            <w:rFonts w:ascii="Fotogram Light" w:hAnsi="Fotogram Light" w:eastAsia="Fotogram Light" w:cs="Fotogram Light"/>
            <w:i/>
            <w:color w:val="0000FF"/>
            <w:sz w:val="20"/>
            <w:szCs w:val="20"/>
            <w:u w:val="single"/>
          </w:rPr>
          <w:t>http://www.biomedcentral.com/1471-244X/11/33</w:t>
        </w:r>
      </w:hyperlink>
    </w:p>
    <w:p xmlns:wp14="http://schemas.microsoft.com/office/word/2010/wordml" w:rsidRPr="00122A75" w:rsidR="003136E4" w:rsidP="003136E4" w:rsidRDefault="003136E4" w14:paraId="6BB9E253" wp14:textId="77777777">
      <w:pPr>
        <w:spacing w:after="0" w:line="240" w:lineRule="auto"/>
        <w:rPr>
          <w:rFonts w:ascii="Fotogram Light" w:hAnsi="Fotogram Light" w:eastAsia="Fotogram Light" w:cs="Fotogram Light"/>
          <w:i/>
          <w:sz w:val="20"/>
          <w:szCs w:val="20"/>
        </w:rPr>
      </w:pPr>
    </w:p>
    <w:p xmlns:wp14="http://schemas.microsoft.com/office/word/2010/wordml" w:rsidRPr="00122A75" w:rsidR="003136E4" w:rsidP="003136E4" w:rsidRDefault="003136E4" w14:paraId="3B40B7E0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0"/>
        <w:rPr>
          <w:rFonts w:ascii="Fotogram Light" w:hAnsi="Fotogram Light" w:eastAsia="Fotogram Light" w:cs="Fotogram Light"/>
          <w:i/>
          <w:color w:val="000000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De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Gucht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V.;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Maes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S. (2006).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Explaining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medically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unexplained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symptoms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Toward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multidimensional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theory-based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somatization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Journal of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Psychosomatic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Research,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2006. 60. 349-352.</w:t>
      </w:r>
    </w:p>
    <w:p xmlns:wp14="http://schemas.microsoft.com/office/word/2010/wordml" w:rsidRPr="00122A75" w:rsidR="003136E4" w:rsidP="003136E4" w:rsidRDefault="003136E4" w14:paraId="23DE523C" wp14:textId="77777777">
      <w:pPr>
        <w:spacing w:after="0" w:line="240" w:lineRule="auto"/>
        <w:rPr>
          <w:rFonts w:ascii="Fotogram Light" w:hAnsi="Fotogram Light" w:eastAsia="Fotogram Light" w:cs="Fotogram Light"/>
          <w:i/>
          <w:sz w:val="20"/>
          <w:szCs w:val="20"/>
        </w:rPr>
      </w:pPr>
    </w:p>
    <w:p xmlns:wp14="http://schemas.microsoft.com/office/word/2010/wordml" w:rsidRPr="00122A75" w:rsidR="003136E4" w:rsidP="003136E4" w:rsidRDefault="003136E4" w14:paraId="313C2EB5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Deary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V.,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Chalder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, T</w:t>
      </w:r>
      <w:proofErr w:type="gram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Sharpe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(2007). The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behavioural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medically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unexplained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symptoms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empirical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Review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, 27,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781-797.</w:t>
      </w:r>
    </w:p>
    <w:p xmlns:wp14="http://schemas.microsoft.com/office/word/2010/wordml" w:rsidRPr="00122A75" w:rsidR="003136E4" w:rsidP="003136E4" w:rsidRDefault="003136E4" w14:paraId="52E56223" wp14:textId="77777777">
      <w:pPr>
        <w:spacing w:after="0" w:line="240" w:lineRule="auto"/>
        <w:rPr>
          <w:rFonts w:ascii="Fotogram Light" w:hAnsi="Fotogram Light" w:eastAsia="Fotogram Light" w:cs="Fotogram Light"/>
          <w:i/>
          <w:sz w:val="20"/>
          <w:szCs w:val="20"/>
        </w:rPr>
      </w:pPr>
    </w:p>
    <w:p xmlns:wp14="http://schemas.microsoft.com/office/word/2010/wordml" w:rsidRPr="00122A75" w:rsidR="003136E4" w:rsidP="003136E4" w:rsidRDefault="003136E4" w14:paraId="0691B340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Dimsdale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, J</w:t>
      </w:r>
      <w:proofErr w:type="gram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.E</w:t>
      </w:r>
      <w:proofErr w:type="gram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et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(2013).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Somatic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Symptom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Disorder</w:t>
      </w:r>
      <w:proofErr w:type="spellEnd"/>
      <w:proofErr w:type="gram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.:</w:t>
      </w:r>
      <w:proofErr w:type="gram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important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change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DSM. 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Journal of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Psychosomatic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Research, 75, 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223-228.</w:t>
      </w:r>
    </w:p>
    <w:p xmlns:wp14="http://schemas.microsoft.com/office/word/2010/wordml" w:rsidRPr="00122A75" w:rsidR="003136E4" w:rsidP="003136E4" w:rsidRDefault="003136E4" w14:paraId="07547A0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419AED23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(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disease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specific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part;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can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refreshed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every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semester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)</w:t>
      </w:r>
    </w:p>
    <w:p xmlns:wp14="http://schemas.microsoft.com/office/word/2010/wordml" w:rsidRPr="00122A75" w:rsidR="003136E4" w:rsidP="003136E4" w:rsidRDefault="003136E4" w14:paraId="5043CB0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0EB7EF2C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Browne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 L. et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. (2014). '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I'm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not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druggie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I'm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just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diabetic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': 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qualitative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stigma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perspective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adults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type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 diabetes. 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BMJ Open, </w:t>
      </w:r>
      <w:proofErr w:type="gram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4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gram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7).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doi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: 10.1136/bmjopen-2014-005625.</w:t>
      </w:r>
    </w:p>
    <w:p xmlns:wp14="http://schemas.microsoft.com/office/word/2010/wordml" w:rsidRPr="00122A75" w:rsidR="003136E4" w:rsidP="003136E4" w:rsidRDefault="003136E4" w14:paraId="0745931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A2F8F5F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Compare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Germani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E.,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Proietti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R., &amp;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Janeway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(2011).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Cardiovascular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Up-to-Date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Anxiety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Depression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Practice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Epidemiology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Mental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Health :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CP &amp; EMH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,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7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, 148–156.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hyperlink r:id="rId6">
        <w:r w:rsidRPr="00122A75">
          <w:rPr>
            <w:rFonts w:ascii="Fotogram Light" w:hAnsi="Fotogram Light" w:eastAsia="Fotogram Light" w:cs="Fotogram Light"/>
            <w:color w:val="0000FF"/>
            <w:sz w:val="20"/>
            <w:szCs w:val="20"/>
            <w:u w:val="single"/>
          </w:rPr>
          <w:t>https://doi.org/10.2174/1745017901107010148</w:t>
        </w:r>
      </w:hyperlink>
      <w:hyperlink r:id="rId7">
        <w:r w:rsidRPr="00122A75">
          <w:rPr>
            <w:rFonts w:ascii="Fotogram Light" w:hAnsi="Fotogram Light" w:eastAsia="Fotogram Light" w:cs="Fotogram Light"/>
            <w:color w:val="000000"/>
            <w:sz w:val="20"/>
            <w:szCs w:val="20"/>
            <w:u w:val="single"/>
          </w:rPr>
          <w:t xml:space="preserve">. </w:t>
        </w:r>
      </w:hyperlink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Full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text: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https://www.ncbi.nlm.nih.gov/pmc/articles/PMC3195800/</w:t>
      </w:r>
    </w:p>
    <w:p xmlns:wp14="http://schemas.microsoft.com/office/word/2010/wordml" w:rsidRPr="00122A75" w:rsidR="003136E4" w:rsidP="003136E4" w:rsidRDefault="003136E4" w14:paraId="6537F28F" wp14:textId="77777777">
      <w:pPr>
        <w:spacing w:after="0" w:line="240" w:lineRule="auto"/>
        <w:rPr>
          <w:rFonts w:ascii="Fotogram Light" w:hAnsi="Fotogram Light" w:eastAsia="Fotogram Light" w:cs="Fotogram Light"/>
          <w:i/>
          <w:sz w:val="20"/>
          <w:szCs w:val="20"/>
        </w:rPr>
      </w:pPr>
    </w:p>
    <w:p xmlns:wp14="http://schemas.microsoft.com/office/word/2010/wordml" w:rsidRPr="00122A75" w:rsidR="003136E4" w:rsidP="003136E4" w:rsidRDefault="003136E4" w14:paraId="6DFB9E20" wp14:textId="77777777">
      <w:pPr>
        <w:spacing w:after="0" w:line="240" w:lineRule="auto"/>
        <w:rPr>
          <w:rFonts w:ascii="Fotogram Light" w:hAnsi="Fotogram Light" w:eastAsia="Fotogram Light" w:cs="Fotogram Light"/>
          <w:i/>
          <w:sz w:val="20"/>
          <w:szCs w:val="20"/>
        </w:rPr>
      </w:pPr>
    </w:p>
    <w:p xmlns:wp14="http://schemas.microsoft.com/office/word/2010/wordml" w:rsidRPr="00122A75" w:rsidR="003136E4" w:rsidP="003136E4" w:rsidRDefault="003136E4" w14:paraId="3F49D283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Farell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, K</w:t>
      </w:r>
      <w:proofErr w:type="gram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Antoni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(2010).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Insulin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Resistance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Obesity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Inflammation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Depression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Polycystic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Ovary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Syndrome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Biobehavioral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Mechanisms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Fertil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Steril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2010 </w:t>
      </w:r>
      <w:proofErr w:type="spellStart"/>
      <w:proofErr w:type="gram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October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;</w:t>
      </w:r>
      <w:proofErr w:type="gram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94(5): 1565–1574. doi:10.1016/j.fertnstert.2010.03.081.</w:t>
      </w:r>
    </w:p>
    <w:p xmlns:wp14="http://schemas.microsoft.com/office/word/2010/wordml" w:rsidRPr="00122A75" w:rsidR="003136E4" w:rsidP="003136E4" w:rsidRDefault="003136E4" w14:paraId="70DF9E56" wp14:textId="77777777">
      <w:pPr>
        <w:spacing w:after="0" w:line="240" w:lineRule="auto"/>
        <w:rPr>
          <w:rFonts w:ascii="Fotogram Light" w:hAnsi="Fotogram Light" w:eastAsia="Fotogram Light" w:cs="Fotogram Light"/>
          <w:i/>
          <w:sz w:val="20"/>
          <w:szCs w:val="20"/>
        </w:rPr>
      </w:pPr>
    </w:p>
    <w:p xmlns:wp14="http://schemas.microsoft.com/office/word/2010/wordml" w:rsidRPr="00122A75" w:rsidR="003136E4" w:rsidP="003136E4" w:rsidRDefault="003136E4" w14:paraId="10769A59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Ismail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K. et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(2010). 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randomised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controlled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trial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therapy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motivational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interviewing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people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Type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 diabetes mellitus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persistent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sub-optimal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glycaemic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control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Diabetes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Therapies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ADaPT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Health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Technology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Assessment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</w:t>
      </w:r>
      <w:proofErr w:type="gram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14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gram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22), 1-65.</w:t>
      </w:r>
    </w:p>
    <w:p xmlns:wp14="http://schemas.microsoft.com/office/word/2010/wordml" w:rsidRPr="00122A75" w:rsidR="003136E4" w:rsidP="003136E4" w:rsidRDefault="003136E4" w14:paraId="44B26D2C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Kazak, </w:t>
      </w:r>
      <w:proofErr w:type="gram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Noll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R.B. (2015). The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integration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pediatric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oncology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Collaboration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improve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care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outcomes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families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American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Psychologist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70 (2), 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146-158.</w:t>
      </w:r>
    </w:p>
    <w:p xmlns:wp14="http://schemas.microsoft.com/office/word/2010/wordml" w:rsidRPr="00122A75" w:rsidR="003136E4" w:rsidP="003136E4" w:rsidRDefault="003136E4" w14:paraId="44E871B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2D163BE8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Szigethy E. et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(2007).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behavioral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therapy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adolescents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inflammatory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bowel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subsyndroma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depression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Journal of American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Academy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Adolescent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Psychiatry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, 2007, 46.(10), 1290-1298.</w:t>
      </w:r>
    </w:p>
    <w:p xmlns:wp14="http://schemas.microsoft.com/office/word/2010/wordml" w:rsidRPr="00122A75" w:rsidR="003136E4" w:rsidP="003136E4" w:rsidRDefault="003136E4" w14:paraId="144A5D2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684A987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Toivanen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(2012).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determinants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stroke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stress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among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women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Stroke Research and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Volume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2012,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Article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ID 873678, 10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pages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doi:10.1155/2012/873678</w:t>
      </w:r>
    </w:p>
    <w:p xmlns:wp14="http://schemas.microsoft.com/office/word/2010/wordml" w:rsidRPr="00122A75" w:rsidR="003136E4" w:rsidP="003136E4" w:rsidRDefault="003136E4" w14:paraId="738610E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3136E4" w:rsidP="003136E4" w:rsidRDefault="003136E4" w14:paraId="5B8A3BEF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Zingone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, F</w:t>
      </w:r>
      <w:proofErr w:type="gram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Swift, G.L.,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Card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T.R.,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Sandlers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D.S.,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Ludvigsson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J.F.,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Bai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J.C. (2015).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morbidity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celiac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disease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United European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Gastroenterology</w:t>
      </w:r>
      <w:proofErr w:type="spellEnd"/>
      <w:r w:rsidRPr="00122A7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Journal, 3</w:t>
      </w:r>
      <w:r w:rsidRPr="00122A75">
        <w:rPr>
          <w:rFonts w:ascii="Fotogram Light" w:hAnsi="Fotogram Light" w:eastAsia="Fotogram Light" w:cs="Fotogram Light"/>
          <w:color w:val="000000"/>
          <w:sz w:val="20"/>
          <w:szCs w:val="20"/>
        </w:rPr>
        <w:t>. 136-145.</w:t>
      </w:r>
    </w:p>
    <w:p xmlns:wp14="http://schemas.microsoft.com/office/word/2010/wordml" w:rsidR="00120643" w:rsidRDefault="00120643" w14:paraId="637805D2" wp14:textId="77777777" wp14:noSpellErr="1"/>
    <w:p w:rsidR="0B979E84" w:rsidP="0B979E84" w:rsidRDefault="0B979E84" w14:paraId="769BCB6F" w14:textId="6E57658B">
      <w:pPr>
        <w:pStyle w:val="Norml"/>
      </w:pPr>
    </w:p>
    <w:p w:rsidR="0B979E84" w:rsidP="0B979E84" w:rsidRDefault="0B979E84" w14:paraId="3A3A0778" w14:textId="11571E90">
      <w:pPr>
        <w:pStyle w:val="Norml"/>
      </w:pPr>
    </w:p>
    <w:p w:rsidR="0B979E84" w:rsidP="0B979E84" w:rsidRDefault="0B979E84" w14:paraId="4FB769DD" w14:textId="5B81EA6B">
      <w:pPr>
        <w:pStyle w:val="Norml"/>
      </w:pPr>
    </w:p>
    <w:p w:rsidR="0B979E84" w:rsidP="0B979E84" w:rsidRDefault="0B979E84" w14:paraId="0C0F292C" w14:textId="09846119">
      <w:pPr>
        <w:pStyle w:val="Norml"/>
      </w:pPr>
    </w:p>
    <w:p w:rsidR="0B979E84" w:rsidP="0B979E84" w:rsidRDefault="0B979E84" w14:paraId="1D4951C4" w14:textId="7D04A4B5">
      <w:pPr>
        <w:pStyle w:val="Norml"/>
      </w:pPr>
    </w:p>
    <w:p w:rsidR="3ED3F959" w:rsidP="0B979E84" w:rsidRDefault="3ED3F959" w14:paraId="31D8B486" w14:textId="771B3BFD">
      <w:pPr>
        <w:jc w:val="center"/>
      </w:pPr>
      <w:r w:rsidRPr="0B979E84" w:rsidR="3ED3F95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3ED3F959" w:rsidP="0B979E84" w:rsidRDefault="3ED3F959" w14:paraId="1EC57B7C" w14:textId="3A534AA4">
      <w:pPr>
        <w:jc w:val="center"/>
      </w:pPr>
      <w:r w:rsidRPr="0B979E84" w:rsidR="3ED3F95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3ED3F959" w:rsidP="0B979E84" w:rsidRDefault="3ED3F959" w14:paraId="3DFF56B8" w14:textId="65B183B8">
      <w:pPr>
        <w:jc w:val="both"/>
      </w:pPr>
      <w:r w:rsidRPr="0B979E84" w:rsidR="3ED3F95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B979E84" w:rsidTr="0B979E84" w14:paraId="20B8534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B979E84" w:rsidP="0B979E84" w:rsidRDefault="0B979E84" w14:paraId="66D7F223" w14:textId="312D02FD">
            <w:pPr>
              <w:jc w:val="both"/>
            </w:pPr>
            <w:r w:rsidRPr="0B979E84" w:rsidR="0B979E8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3ED3F959" w:rsidP="0B979E84" w:rsidRDefault="3ED3F959" w14:paraId="1A1C928E" w14:textId="28403CEF">
      <w:pPr>
        <w:jc w:val="both"/>
      </w:pPr>
      <w:r w:rsidRPr="0B979E84" w:rsidR="3ED3F95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ED3F959" w:rsidP="0B979E84" w:rsidRDefault="3ED3F959" w14:paraId="4DB6FCBA" w14:textId="7164D108">
      <w:pPr>
        <w:spacing w:line="276" w:lineRule="auto"/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3ED3F959" w:rsidP="0B979E84" w:rsidRDefault="3ED3F959" w14:paraId="2B27B26C" w14:textId="3A30FCD3">
      <w:pPr>
        <w:spacing w:line="276" w:lineRule="auto"/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3ED3F959" w:rsidP="0B979E84" w:rsidRDefault="3ED3F959" w14:paraId="5B2F2ABD" w14:textId="51B76EB1">
      <w:pPr>
        <w:spacing w:line="276" w:lineRule="auto"/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3ED3F959" w:rsidP="0B979E84" w:rsidRDefault="3ED3F959" w14:paraId="26FB218F" w14:textId="244BF3BC">
      <w:pPr>
        <w:spacing w:line="276" w:lineRule="auto"/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3ED3F959" w:rsidP="0B979E84" w:rsidRDefault="3ED3F959" w14:paraId="1FB42FAB" w14:textId="18BEF058">
      <w:pPr>
        <w:spacing w:line="276" w:lineRule="auto"/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3ED3F959" w:rsidP="0B979E84" w:rsidRDefault="3ED3F959" w14:paraId="14C5179F" w14:textId="61082A91">
      <w:pPr>
        <w:spacing w:line="276" w:lineRule="auto"/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3ED3F959" w:rsidP="0B979E84" w:rsidRDefault="3ED3F959" w14:paraId="1EE9EAA5" w14:textId="08100FD6">
      <w:pPr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ED3F959" w:rsidP="0B979E84" w:rsidRDefault="3ED3F959" w14:paraId="216FE679" w14:textId="48AEDACE">
      <w:pPr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B979E84" w:rsidTr="0B979E84" w14:paraId="0686C87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B979E84" w:rsidP="0B979E84" w:rsidRDefault="0B979E84" w14:paraId="099B7B4C" w14:textId="0355976A">
            <w:pPr>
              <w:jc w:val="both"/>
            </w:pPr>
            <w:r w:rsidRPr="0B979E84" w:rsidR="0B979E8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3ED3F959" w:rsidP="0B979E84" w:rsidRDefault="3ED3F959" w14:paraId="77E677AA" w14:textId="296DF7C2">
      <w:pPr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ED3F959" w:rsidP="0B979E84" w:rsidRDefault="3ED3F959" w14:paraId="13240D32" w14:textId="5CA9E3E1">
      <w:pPr>
        <w:pStyle w:val="Listaszerbekezds"/>
        <w:numPr>
          <w:ilvl w:val="0"/>
          <w:numId w:val="12"/>
        </w:numPr>
        <w:rPr/>
      </w:pPr>
      <w:r w:rsidRPr="0B979E84" w:rsidR="3ED3F95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ED3F959" w:rsidP="0B979E84" w:rsidRDefault="3ED3F959" w14:paraId="6B825B13" w14:textId="665F32B1">
      <w:pPr>
        <w:pStyle w:val="Listaszerbekezds"/>
        <w:numPr>
          <w:ilvl w:val="0"/>
          <w:numId w:val="12"/>
        </w:numPr>
        <w:rPr/>
      </w:pPr>
      <w:r w:rsidRPr="0B979E84" w:rsidR="3ED3F95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ED3F959" w:rsidP="0B979E84" w:rsidRDefault="3ED3F959" w14:paraId="5D21955D" w14:textId="7514A255">
      <w:pPr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ED3F959" w:rsidP="0B979E84" w:rsidRDefault="3ED3F959" w14:paraId="02848C4C" w14:textId="1BF470AC">
      <w:pPr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ED3F959" w:rsidP="0B979E84" w:rsidRDefault="3ED3F959" w14:paraId="3D18ABAC" w14:textId="31116FB0">
      <w:pPr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ED3F959" w:rsidP="0B979E84" w:rsidRDefault="3ED3F959" w14:paraId="1C902ECB" w14:textId="4FBDF323">
      <w:pPr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ED3F959" w:rsidP="0B979E84" w:rsidRDefault="3ED3F959" w14:paraId="52B22141" w14:textId="6AC58C46">
      <w:pPr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B979E84" w:rsidTr="0B979E84" w14:paraId="2C86796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B979E84" w:rsidP="0B979E84" w:rsidRDefault="0B979E84" w14:paraId="6EE28A18" w14:textId="287EBB47">
            <w:pPr>
              <w:jc w:val="both"/>
            </w:pPr>
            <w:r w:rsidRPr="0B979E84" w:rsidR="0B979E8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3ED3F959" w:rsidP="0B979E84" w:rsidRDefault="3ED3F959" w14:paraId="1A236340" w14:textId="4598E65A">
      <w:pPr>
        <w:jc w:val="both"/>
      </w:pPr>
      <w:r w:rsidRPr="0B979E84" w:rsidR="3ED3F95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B979E84" w:rsidP="0B979E84" w:rsidRDefault="0B979E84" w14:paraId="17ED260E" w14:textId="478C0D1E">
      <w:pPr>
        <w:pStyle w:val="Listaszerbekezds"/>
        <w:numPr>
          <w:ilvl w:val="0"/>
          <w:numId w:val="12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B979E84" w:rsidP="0B979E84" w:rsidRDefault="0B979E84" w14:paraId="7A93607E" w14:textId="43569D20">
      <w:pPr>
        <w:pStyle w:val="Norml"/>
      </w:pPr>
    </w:p>
    <w:p w:rsidR="0B979E84" w:rsidP="0B979E84" w:rsidRDefault="0B979E84" w14:paraId="58D8B394" w14:textId="0666714C">
      <w:pPr>
        <w:pStyle w:val="Norml"/>
      </w:pPr>
    </w:p>
    <w:sectPr w:rsidR="0012064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E186999"/>
    <w:multiLevelType w:val="multilevel"/>
    <w:tmpl w:val="E2568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EC138C7"/>
    <w:multiLevelType w:val="multilevel"/>
    <w:tmpl w:val="F6942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FC6560D"/>
    <w:multiLevelType w:val="multilevel"/>
    <w:tmpl w:val="FCFC045E"/>
    <w:lvl w:ilvl="0">
      <w:start w:val="1"/>
      <w:numFmt w:val="bullet"/>
      <w:lvlText w:val="●"/>
      <w:lvlJc w:val="left"/>
      <w:pPr>
        <w:ind w:left="4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44813C45"/>
    <w:multiLevelType w:val="multilevel"/>
    <w:tmpl w:val="BDE6C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48716CCF"/>
    <w:multiLevelType w:val="multilevel"/>
    <w:tmpl w:val="2A1C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515D1A02"/>
    <w:multiLevelType w:val="multilevel"/>
    <w:tmpl w:val="FAC61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57494353"/>
    <w:multiLevelType w:val="multilevel"/>
    <w:tmpl w:val="14460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1682990"/>
    <w:multiLevelType w:val="multilevel"/>
    <w:tmpl w:val="63AAE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62942085"/>
    <w:multiLevelType w:val="multilevel"/>
    <w:tmpl w:val="ABDA3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6B61292B"/>
    <w:multiLevelType w:val="multilevel"/>
    <w:tmpl w:val="448E7A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6DD5115"/>
    <w:multiLevelType w:val="multilevel"/>
    <w:tmpl w:val="9E442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2">
    <w:abstractNumId w:val="11"/>
  </w: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E4"/>
    <w:rsid w:val="00120643"/>
    <w:rsid w:val="003136E4"/>
    <w:rsid w:val="0B979E84"/>
    <w:rsid w:val="3ED3F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C993"/>
  <w15:chartTrackingRefBased/>
  <w15:docId w15:val="{C99D50B4-C7F7-4494-AB08-321AF44E81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136E4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6E4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doi.org/10.2174/1745017901107010148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doi.org/10.2174/1745017901107010148" TargetMode="External" Id="rId6" /><Relationship Type="http://schemas.openxmlformats.org/officeDocument/2006/relationships/hyperlink" Target="http://www.biomedcentral.com/1471-244X/11/33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2021-08-23T06:45:00.0000000Z</dcterms:created>
  <dcterms:modified xsi:type="dcterms:W3CDTF">2021-08-26T14:16:54.6769726Z</dcterms:modified>
</coreProperties>
</file>